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402B" w:rsidRDefault="00676AE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-439386</wp:posOffset>
            </wp:positionH>
            <wp:positionV relativeFrom="paragraph">
              <wp:posOffset>-498763</wp:posOffset>
            </wp:positionV>
            <wp:extent cx="888587" cy="881421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E402B" w:rsidRDefault="00676AEB">
      <w:pPr>
        <w:jc w:val="right"/>
      </w:pPr>
      <w:r>
        <w:rPr>
          <w:sz w:val="24"/>
          <w:szCs w:val="24"/>
        </w:rPr>
        <w:t>Senate Agenda</w:t>
      </w:r>
    </w:p>
    <w:p w:rsidR="00EE402B" w:rsidRDefault="00676AEB">
      <w:pPr>
        <w:jc w:val="right"/>
      </w:pPr>
      <w:r>
        <w:rPr>
          <w:sz w:val="24"/>
          <w:szCs w:val="24"/>
        </w:rPr>
        <w:t>December 1, 2015</w:t>
      </w:r>
    </w:p>
    <w:p w:rsidR="00EE402B" w:rsidRDefault="00676AEB">
      <w:pPr>
        <w:spacing w:after="120"/>
        <w:jc w:val="right"/>
      </w:pPr>
      <w:r>
        <w:rPr>
          <w:sz w:val="24"/>
          <w:szCs w:val="24"/>
        </w:rPr>
        <w:t>Graduate Education Auditorium, 6:00 PM</w:t>
      </w:r>
    </w:p>
    <w:p w:rsidR="00EE402B" w:rsidRDefault="00676AEB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:rsidR="00EE402B" w:rsidRDefault="00676AEB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:rsidR="00EE402B" w:rsidRDefault="00676AEB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</w:t>
      </w:r>
    </w:p>
    <w:p w:rsidR="00EE402B" w:rsidRDefault="00676AEB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Special Orders</w:t>
      </w:r>
    </w:p>
    <w:p w:rsidR="00EE402B" w:rsidRDefault="00676AEB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Reports (5 minutes each)</w:t>
      </w:r>
    </w:p>
    <w:p w:rsidR="00EE402B" w:rsidRDefault="00676AEB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Advisor’s Report, Rainer Gall</w:t>
      </w:r>
    </w:p>
    <w:p w:rsidR="00EE402B" w:rsidRDefault="00676AEB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Holiday Party next week December 8th, 7pm</w:t>
      </w:r>
    </w:p>
    <w:p w:rsidR="00EE402B" w:rsidRDefault="00676AEB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Union will be closed on break till January 10th</w:t>
      </w:r>
    </w:p>
    <w:p w:rsidR="00EE402B" w:rsidRDefault="00676AEB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Graduate Assistant’s Report, Jamie Wangler; Katherine Selman</w:t>
      </w:r>
    </w:p>
    <w:p w:rsidR="00EE402B" w:rsidRDefault="00676AEB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President’s Report, Tanner Bone</w:t>
      </w:r>
    </w:p>
    <w:p w:rsidR="00EE402B" w:rsidRDefault="00676AEB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Vice-President’s Report, Morgan Farmer</w:t>
      </w:r>
    </w:p>
    <w:p w:rsidR="00EE402B" w:rsidRDefault="00676AEB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Holiday Party next Tuesday </w:t>
      </w:r>
    </w:p>
    <w:p w:rsidR="00EE402B" w:rsidRDefault="00676AEB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Vigil for MLK day will still be held January 18th at 12pm</w:t>
      </w:r>
    </w:p>
    <w:p w:rsidR="00EE402B" w:rsidRDefault="00676AEB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Treasurer’s Report, Raymond Todd</w:t>
      </w:r>
    </w:p>
    <w:p w:rsidR="00EE402B" w:rsidRDefault="00676AEB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Secretary’s Report, </w:t>
      </w:r>
      <w:proofErr w:type="spellStart"/>
      <w:r>
        <w:rPr>
          <w:sz w:val="24"/>
          <w:szCs w:val="24"/>
        </w:rPr>
        <w:t>Meera</w:t>
      </w:r>
      <w:proofErr w:type="spellEnd"/>
      <w:r>
        <w:rPr>
          <w:sz w:val="24"/>
          <w:szCs w:val="24"/>
        </w:rPr>
        <w:t xml:space="preserve"> Patel</w:t>
      </w:r>
    </w:p>
    <w:p w:rsidR="00EE402B" w:rsidRDefault="00676AEB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Cabinet Reports</w:t>
      </w:r>
    </w:p>
    <w:p w:rsidR="00EE402B" w:rsidRDefault="00676AEB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Chief of Staff, Elizabeth Pittman</w:t>
      </w:r>
    </w:p>
    <w:p w:rsidR="00EE402B" w:rsidRDefault="00676AEB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Continue telling people about associate member applications and committee applications </w:t>
      </w:r>
    </w:p>
    <w:p w:rsidR="00EE402B" w:rsidRDefault="00676AEB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Sunday night before finals we will be passing out cookies and coffee at the library, look for google doc to sign up</w:t>
      </w:r>
    </w:p>
    <w:p w:rsidR="00EE402B" w:rsidRDefault="00676AEB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Director of External Affairs, Thomas Selig</w:t>
      </w:r>
    </w:p>
    <w:p w:rsidR="00EE402B" w:rsidRDefault="00676AEB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Chair of the Senate’s Report, Jace Motley</w:t>
      </w:r>
    </w:p>
    <w:p w:rsidR="00EE402B" w:rsidRDefault="00676AEB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Nominations and Elections</w:t>
      </w:r>
    </w:p>
    <w:p w:rsidR="00EE402B" w:rsidRDefault="00676AEB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Public Comment (3 at 2 minutes each)</w:t>
      </w:r>
    </w:p>
    <w:p w:rsidR="00EE402B" w:rsidRDefault="00676AEB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EE402B" w:rsidRDefault="0075255C">
      <w:pPr>
        <w:numPr>
          <w:ilvl w:val="1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bookmarkStart w:id="1" w:name="h.gjdgxs" w:colFirst="0" w:colLast="0"/>
      <w:bookmarkEnd w:id="1"/>
      <w:r>
        <w:rPr>
          <w:sz w:val="24"/>
          <w:szCs w:val="24"/>
        </w:rPr>
        <w:t>ASG Senate</w:t>
      </w:r>
      <w:r w:rsidR="00676AEB">
        <w:rPr>
          <w:sz w:val="24"/>
          <w:szCs w:val="24"/>
        </w:rPr>
        <w:t xml:space="preserve"> Bill No. 5 – The </w:t>
      </w:r>
      <w:proofErr w:type="spellStart"/>
      <w:r w:rsidR="00676AEB">
        <w:rPr>
          <w:sz w:val="24"/>
          <w:szCs w:val="24"/>
        </w:rPr>
        <w:t>Scantron</w:t>
      </w:r>
      <w:proofErr w:type="spellEnd"/>
      <w:r w:rsidR="00676AEB">
        <w:rPr>
          <w:sz w:val="24"/>
          <w:szCs w:val="24"/>
        </w:rPr>
        <w:t xml:space="preserve"> Machine Funding Bill of 2015</w:t>
      </w:r>
    </w:p>
    <w:p w:rsidR="00EE402B" w:rsidRDefault="00676AEB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Author(s): Senator Jack Casey, Senator Mason Lester, Senator Drew Maney, Senator Scott Sims, Senator Will Watkins</w:t>
      </w:r>
    </w:p>
    <w:p w:rsidR="00EE402B" w:rsidRDefault="00676AEB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Sponsor(s): Senator Jack Casey, Senator Mason Lester, Senator Drew Maney, Senator Scott Sims, Senator Will Watkins</w:t>
      </w:r>
    </w:p>
    <w:p w:rsidR="00EE402B" w:rsidRDefault="00676AEB">
      <w:pPr>
        <w:numPr>
          <w:ilvl w:val="3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Bill Passes</w:t>
      </w:r>
    </w:p>
    <w:p w:rsidR="00EE402B" w:rsidRDefault="00676AEB">
      <w:pPr>
        <w:numPr>
          <w:ilvl w:val="1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ASG Senate Resolution No. 5 – A Resolution to Support Crosswalk Safety on Maple Street</w:t>
      </w:r>
    </w:p>
    <w:p w:rsidR="00EE402B" w:rsidRDefault="00676AEB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Author(s): Infrastructure Committee Chair Megan McPherson, Senator Hayden Wynne</w:t>
      </w:r>
    </w:p>
    <w:p w:rsidR="00EE402B" w:rsidRDefault="00676AEB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Sponsor(s): Senator Augustin Casals, Senator </w:t>
      </w:r>
      <w:proofErr w:type="spellStart"/>
      <w:r>
        <w:rPr>
          <w:sz w:val="24"/>
          <w:szCs w:val="24"/>
        </w:rPr>
        <w:t>Teila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Creekmore</w:t>
      </w:r>
      <w:proofErr w:type="spellEnd"/>
      <w:r>
        <w:rPr>
          <w:sz w:val="24"/>
          <w:szCs w:val="24"/>
        </w:rPr>
        <w:t xml:space="preserve">, Senator Chance Townsell, Senator Garrett Bethel, Senator </w:t>
      </w:r>
      <w:proofErr w:type="spellStart"/>
      <w:r>
        <w:rPr>
          <w:sz w:val="24"/>
          <w:szCs w:val="24"/>
        </w:rPr>
        <w:t>Vinit</w:t>
      </w:r>
      <w:proofErr w:type="spellEnd"/>
      <w:r>
        <w:rPr>
          <w:sz w:val="24"/>
          <w:szCs w:val="24"/>
        </w:rPr>
        <w:t xml:space="preserve"> Modi, Senator Carson </w:t>
      </w:r>
      <w:proofErr w:type="spellStart"/>
      <w:r>
        <w:rPr>
          <w:sz w:val="24"/>
          <w:szCs w:val="24"/>
        </w:rPr>
        <w:t>Alsup</w:t>
      </w:r>
      <w:proofErr w:type="spellEnd"/>
      <w:r>
        <w:rPr>
          <w:sz w:val="24"/>
          <w:szCs w:val="24"/>
        </w:rPr>
        <w:t>, Senator Katie Hicks</w:t>
      </w:r>
    </w:p>
    <w:p w:rsidR="00EE402B" w:rsidRDefault="00676AEB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Resolution Passes</w:t>
      </w:r>
    </w:p>
    <w:p w:rsidR="00EE402B" w:rsidRDefault="00676AEB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EE402B" w:rsidRDefault="00676AEB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ASG Joint Bill No. 3 – The Adoption of the Old Main Oath Act of 2015</w:t>
      </w:r>
    </w:p>
    <w:p w:rsidR="00EE402B" w:rsidRDefault="00676AEB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Author(s): ASG Vice-President Morgan Farmer, ASG President Tanner Bone, Graduate Student Congress Speaker Scout Johnson, Senator Will Watkins, RIC President Russell Sharp, SAB Vice-President of Sponsorship Blair Peterson, SAAC Representative Eric Janise, ASG Secretary </w:t>
      </w:r>
      <w:proofErr w:type="spellStart"/>
      <w:r>
        <w:rPr>
          <w:sz w:val="24"/>
          <w:szCs w:val="24"/>
        </w:rPr>
        <w:t>Meera</w:t>
      </w:r>
      <w:proofErr w:type="spellEnd"/>
      <w:r>
        <w:rPr>
          <w:sz w:val="24"/>
          <w:szCs w:val="24"/>
        </w:rPr>
        <w:t xml:space="preserve"> Patel, ASG Treasurer Ray Todd</w:t>
      </w:r>
    </w:p>
    <w:p w:rsidR="00EE402B" w:rsidRDefault="00676AEB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Sponsor(s): ASG Treasurer Raymond Todd, ASG Secretary </w:t>
      </w:r>
      <w:proofErr w:type="spellStart"/>
      <w:r>
        <w:rPr>
          <w:sz w:val="24"/>
          <w:szCs w:val="24"/>
        </w:rPr>
        <w:t>Meera</w:t>
      </w:r>
      <w:proofErr w:type="spellEnd"/>
      <w:r>
        <w:rPr>
          <w:sz w:val="24"/>
          <w:szCs w:val="24"/>
        </w:rPr>
        <w:t xml:space="preserve"> Patel, ASG Chair of Senate Jace Motley, ASG Chief Justice Jenna Poe, Senator Alex Smith, Senator Mitchell Edwards, Senator Taylor Pruitt, Senator Alex </w:t>
      </w:r>
      <w:proofErr w:type="spellStart"/>
      <w:r>
        <w:rPr>
          <w:sz w:val="24"/>
          <w:szCs w:val="24"/>
        </w:rPr>
        <w:t>Flemister</w:t>
      </w:r>
      <w:proofErr w:type="spellEnd"/>
    </w:p>
    <w:p w:rsidR="00EE402B" w:rsidRDefault="00676AEB">
      <w:pPr>
        <w:numPr>
          <w:ilvl w:val="3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Moved to Second Reading</w:t>
      </w:r>
    </w:p>
    <w:p w:rsidR="00EE402B" w:rsidRDefault="00676AEB">
      <w:pPr>
        <w:numPr>
          <w:ilvl w:val="3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Joint Bill Passes</w:t>
      </w:r>
    </w:p>
    <w:p w:rsidR="00EE402B" w:rsidRDefault="00676AEB">
      <w:pPr>
        <w:numPr>
          <w:ilvl w:val="1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ASG Joint Bill No. 4 – The ASG Presidential Empowerment Act of 2015 </w:t>
      </w:r>
    </w:p>
    <w:p w:rsidR="00EE402B" w:rsidRDefault="00676AEB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Author(s): GSC Secretary Mark Nabors, GSC Parliamentarian </w:t>
      </w:r>
      <w:proofErr w:type="spellStart"/>
      <w:r>
        <w:rPr>
          <w:sz w:val="24"/>
          <w:szCs w:val="24"/>
        </w:rPr>
        <w:t>Frankc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Berlanga</w:t>
      </w:r>
      <w:proofErr w:type="spellEnd"/>
      <w:r>
        <w:rPr>
          <w:sz w:val="24"/>
          <w:szCs w:val="24"/>
        </w:rPr>
        <w:t xml:space="preserve"> Medina, Senator Christina Cole</w:t>
      </w:r>
    </w:p>
    <w:p w:rsidR="00EE402B" w:rsidRDefault="00676AEB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Sponsor(s): ASG President Tanner Bone, GSC Speaker Scout Johnson</w:t>
      </w:r>
    </w:p>
    <w:p w:rsidR="00EE402B" w:rsidRDefault="00676AEB">
      <w:pPr>
        <w:numPr>
          <w:ilvl w:val="3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Referred to Internal Affairs Committee</w:t>
      </w:r>
    </w:p>
    <w:p w:rsidR="00EE402B" w:rsidRDefault="00676AEB">
      <w:pPr>
        <w:numPr>
          <w:ilvl w:val="1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ASG Joint Bill No. 5 – Transfer of Law School From Senate to Graduate Student Congress Act of 2015  </w:t>
      </w:r>
    </w:p>
    <w:p w:rsidR="00EE402B" w:rsidRDefault="00676AEB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Author(s): Senator Christina Cole</w:t>
      </w:r>
    </w:p>
    <w:p w:rsidR="00EE402B" w:rsidRDefault="00676AEB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Sponsor(s): Chair of the Senate Jace Motley, Speaker of the GSC Scout Johnson, GSC Secretary Mark Nabors</w:t>
      </w:r>
    </w:p>
    <w:p w:rsidR="00EE402B" w:rsidRDefault="00676AEB">
      <w:pPr>
        <w:numPr>
          <w:ilvl w:val="3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Moved to Second Reading</w:t>
      </w:r>
    </w:p>
    <w:p w:rsidR="00EE402B" w:rsidRDefault="00676AEB">
      <w:pPr>
        <w:numPr>
          <w:ilvl w:val="3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Bill Passes</w:t>
      </w:r>
    </w:p>
    <w:p w:rsidR="00EE402B" w:rsidRDefault="00676AEB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Announcements </w:t>
      </w:r>
    </w:p>
    <w:p w:rsidR="00EE402B" w:rsidRDefault="00676AEB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:rsidR="00EE402B" w:rsidRDefault="00EE402B">
      <w:pPr>
        <w:spacing w:after="200" w:line="276" w:lineRule="auto"/>
      </w:pPr>
    </w:p>
    <w:p w:rsidR="00EE402B" w:rsidRDefault="00EE402B"/>
    <w:sectPr w:rsidR="00EE40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CC2"/>
    <w:multiLevelType w:val="multilevel"/>
    <w:tmpl w:val="535EB078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2B"/>
    <w:rsid w:val="00676AEB"/>
    <w:rsid w:val="0075255C"/>
    <w:rsid w:val="00E14322"/>
    <w:rsid w:val="00EE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 Chair of Senate, Jace Motley</dc:creator>
  <cp:lastModifiedBy>Layne Winn</cp:lastModifiedBy>
  <cp:revision>2</cp:revision>
  <dcterms:created xsi:type="dcterms:W3CDTF">2016-02-05T17:38:00Z</dcterms:created>
  <dcterms:modified xsi:type="dcterms:W3CDTF">2016-02-05T17:38:00Z</dcterms:modified>
</cp:coreProperties>
</file>