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08" w:rsidRPr="008252EA" w:rsidRDefault="006D0108" w:rsidP="00A80B2B">
      <w:pPr>
        <w:rPr>
          <w:sz w:val="24"/>
          <w:szCs w:val="24"/>
        </w:rPr>
      </w:pPr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1B0963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November 3</w:t>
      </w:r>
      <w:r w:rsidR="00461BD1">
        <w:rPr>
          <w:rFonts w:cs="Georgia"/>
          <w:sz w:val="24"/>
          <w:szCs w:val="24"/>
        </w:rPr>
        <w:t>, 2015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</w:t>
      </w:r>
      <w:proofErr w:type="spellStart"/>
      <w:r w:rsidR="002C0E7E">
        <w:rPr>
          <w:rFonts w:ascii="Georgia" w:hAnsi="Georgia" w:cs="Georgia"/>
          <w:sz w:val="24"/>
          <w:szCs w:val="24"/>
        </w:rPr>
        <w:t>Wangler</w:t>
      </w:r>
      <w:proofErr w:type="spellEnd"/>
      <w:r w:rsidR="007F7FC9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DF3AB1" w:rsidRPr="004A0CB5" w:rsidRDefault="003605A1" w:rsidP="004A0CB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F61B49" w:rsidRDefault="00F61B49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1B0963" w:rsidRPr="00227239" w:rsidRDefault="001B0963" w:rsidP="001B0963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>ASG Joint Resolution No. 1 – A Resolution in Support of the Student Statement on the Right to Research</w:t>
      </w:r>
    </w:p>
    <w:p w:rsidR="001B0963" w:rsidRPr="00227239" w:rsidRDefault="001B0963" w:rsidP="001B0963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>Authored by GSC Representative Philip Gilley, Senator Will Watkins, and Senator Michael Sharp</w:t>
      </w:r>
    </w:p>
    <w:p w:rsidR="001B0963" w:rsidRDefault="001B0963" w:rsidP="001B0963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 xml:space="preserve">Sponsored by GSC Representative Mark Nabors, Senator Courtney Brooks, Senator Justin </w:t>
      </w:r>
      <w:proofErr w:type="spellStart"/>
      <w:r w:rsidRPr="00227239">
        <w:rPr>
          <w:rFonts w:ascii="Georgia" w:hAnsi="Georgia" w:cs="Georgia"/>
          <w:bCs/>
          <w:sz w:val="24"/>
          <w:szCs w:val="24"/>
        </w:rPr>
        <w:t>Arnall</w:t>
      </w:r>
      <w:proofErr w:type="spellEnd"/>
      <w:r w:rsidRPr="00227239">
        <w:rPr>
          <w:rFonts w:ascii="Georgia" w:hAnsi="Georgia" w:cs="Georgia"/>
          <w:bCs/>
          <w:sz w:val="24"/>
          <w:szCs w:val="24"/>
        </w:rPr>
        <w:t>, Senator, Collins Knight, and Senator Rachel O’Neal</w:t>
      </w:r>
    </w:p>
    <w:p w:rsidR="001B0963" w:rsidRPr="00227239" w:rsidRDefault="001B0963" w:rsidP="001B096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>ASG Joint Resolution No. 2 – Resolution to Recognize Student Veterans and Raise Awareness for Their Concerns</w:t>
      </w:r>
    </w:p>
    <w:p w:rsidR="001B0963" w:rsidRPr="00227239" w:rsidRDefault="001B0963" w:rsidP="001B096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>Authored by Tristan Locke, ASG Director of Veterans Affairs; Garrett Jeter</w:t>
      </w:r>
    </w:p>
    <w:p w:rsidR="001B0963" w:rsidRDefault="001B0963" w:rsidP="001B096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 xml:space="preserve">Sponsored by Jace Motley, ASG Chair of the Senate; Scout Johnson, GSC Speaker; GSC Representative Franke </w:t>
      </w:r>
      <w:proofErr w:type="spellStart"/>
      <w:r w:rsidRPr="00227239">
        <w:rPr>
          <w:rFonts w:ascii="Georgia" w:hAnsi="Georgia" w:cs="Georgia"/>
          <w:bCs/>
          <w:sz w:val="24"/>
          <w:szCs w:val="24"/>
        </w:rPr>
        <w:t>Berlanga</w:t>
      </w:r>
      <w:proofErr w:type="spellEnd"/>
      <w:r w:rsidRPr="00227239">
        <w:rPr>
          <w:rFonts w:ascii="Georgia" w:hAnsi="Georgia" w:cs="Georgia"/>
          <w:bCs/>
          <w:sz w:val="24"/>
          <w:szCs w:val="24"/>
        </w:rPr>
        <w:t xml:space="preserve"> Medina</w:t>
      </w:r>
    </w:p>
    <w:p w:rsidR="001B0963" w:rsidRPr="004E3914" w:rsidRDefault="001B0963" w:rsidP="001B096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4E3914">
        <w:rPr>
          <w:rFonts w:ascii="Georgia" w:hAnsi="Georgia" w:cs="Georgia"/>
          <w:bCs/>
          <w:sz w:val="24"/>
          <w:szCs w:val="24"/>
        </w:rPr>
        <w:t>ASG Senate Bill No. 2 – The Engineering Caucus Survey Funding Bill of 2015</w:t>
      </w:r>
    </w:p>
    <w:p w:rsidR="001B0963" w:rsidRPr="004E3914" w:rsidRDefault="001B0963" w:rsidP="001B096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4E3914">
        <w:rPr>
          <w:rFonts w:ascii="Georgia" w:hAnsi="Georgia" w:cs="Georgia"/>
          <w:bCs/>
          <w:sz w:val="24"/>
          <w:szCs w:val="24"/>
        </w:rPr>
        <w:t>Authored by Senator Parker Fitzgerald</w:t>
      </w:r>
    </w:p>
    <w:p w:rsidR="001B0963" w:rsidRPr="001B0963" w:rsidRDefault="001B0963" w:rsidP="001B096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4E3914">
        <w:rPr>
          <w:rFonts w:ascii="Georgia" w:hAnsi="Georgia" w:cs="Georgia"/>
          <w:bCs/>
          <w:sz w:val="24"/>
          <w:szCs w:val="24"/>
        </w:rPr>
        <w:t xml:space="preserve">Sponsored by Senator Jake </w:t>
      </w:r>
      <w:proofErr w:type="spellStart"/>
      <w:r w:rsidRPr="004E3914">
        <w:rPr>
          <w:rFonts w:ascii="Georgia" w:hAnsi="Georgia" w:cs="Georgia"/>
          <w:bCs/>
          <w:sz w:val="24"/>
          <w:szCs w:val="24"/>
        </w:rPr>
        <w:t>Kyte</w:t>
      </w:r>
      <w:proofErr w:type="spellEnd"/>
      <w:r w:rsidRPr="004E3914">
        <w:rPr>
          <w:rFonts w:ascii="Georgia" w:hAnsi="Georgia" w:cs="Georgia"/>
          <w:bCs/>
          <w:sz w:val="24"/>
          <w:szCs w:val="24"/>
        </w:rPr>
        <w:t xml:space="preserve">, Senator Chance </w:t>
      </w:r>
      <w:proofErr w:type="spellStart"/>
      <w:r w:rsidRPr="004E3914">
        <w:rPr>
          <w:rFonts w:ascii="Georgia" w:hAnsi="Georgia" w:cs="Georgia"/>
          <w:bCs/>
          <w:sz w:val="24"/>
          <w:szCs w:val="24"/>
        </w:rPr>
        <w:t>Townsell</w:t>
      </w:r>
      <w:proofErr w:type="spellEnd"/>
      <w:r w:rsidRPr="004E3914">
        <w:rPr>
          <w:rFonts w:ascii="Georgia" w:hAnsi="Georgia" w:cs="Georgia"/>
          <w:bCs/>
          <w:sz w:val="24"/>
          <w:szCs w:val="24"/>
        </w:rPr>
        <w:t xml:space="preserve">, Senator Katie Hicks, Senator Carson </w:t>
      </w:r>
      <w:proofErr w:type="spellStart"/>
      <w:r w:rsidRPr="004E3914">
        <w:rPr>
          <w:rFonts w:ascii="Georgia" w:hAnsi="Georgia" w:cs="Georgia"/>
          <w:bCs/>
          <w:sz w:val="24"/>
          <w:szCs w:val="24"/>
        </w:rPr>
        <w:t>Alsup</w:t>
      </w:r>
      <w:proofErr w:type="spellEnd"/>
      <w:r w:rsidRPr="004E3914">
        <w:rPr>
          <w:rFonts w:ascii="Georgia" w:hAnsi="Georgia" w:cs="Georgia"/>
          <w:bCs/>
          <w:sz w:val="24"/>
          <w:szCs w:val="24"/>
        </w:rPr>
        <w:t>, and Senator Collins Knight</w:t>
      </w:r>
    </w:p>
    <w:p w:rsidR="008A4765" w:rsidRDefault="008844C9" w:rsidP="009C5C04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1B0963" w:rsidRPr="001B0963" w:rsidRDefault="001B0963" w:rsidP="001B0963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B0963">
        <w:rPr>
          <w:rFonts w:ascii="Georgia" w:hAnsi="Georgia" w:cs="Georgia"/>
          <w:bCs/>
          <w:sz w:val="24"/>
          <w:szCs w:val="24"/>
        </w:rPr>
        <w:t>ASG Senate Resolution No. 2 – A Resolution to Support Sexual Assault Education</w:t>
      </w:r>
    </w:p>
    <w:p w:rsidR="001B0963" w:rsidRPr="001B0963" w:rsidRDefault="001B0963" w:rsidP="001B0963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B0963">
        <w:rPr>
          <w:rFonts w:ascii="Georgia" w:hAnsi="Georgia" w:cs="Georgia"/>
          <w:bCs/>
          <w:sz w:val="24"/>
          <w:szCs w:val="24"/>
        </w:rPr>
        <w:lastRenderedPageBreak/>
        <w:t xml:space="preserve">Authored by Senator </w:t>
      </w:r>
      <w:bookmarkStart w:id="0" w:name="_GoBack"/>
      <w:bookmarkEnd w:id="0"/>
      <w:r w:rsidRPr="001B0963">
        <w:rPr>
          <w:rFonts w:ascii="Georgia" w:hAnsi="Georgia" w:cs="Georgia"/>
          <w:bCs/>
          <w:sz w:val="24"/>
          <w:szCs w:val="24"/>
        </w:rPr>
        <w:t>Mitchell Edwards</w:t>
      </w:r>
    </w:p>
    <w:p w:rsidR="001B0963" w:rsidRPr="009B0FC4" w:rsidRDefault="001B0963" w:rsidP="001B0963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9B0FC4">
        <w:rPr>
          <w:rFonts w:ascii="Georgia" w:hAnsi="Georgia" w:cs="Georgia"/>
          <w:bCs/>
          <w:sz w:val="24"/>
          <w:szCs w:val="24"/>
        </w:rPr>
        <w:t xml:space="preserve">Sponsored by Senator Cole Anthony, Senator Kara Bell, Senator Jordan Cantor, Senator Natalie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Counce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, Senator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Teila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Creekmore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, Senator Kristin Day, Senator J.P.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Gairhan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>, Senator Megan McPherson, Senator Will Watkins, Vice President Morgan Farmer</w:t>
      </w:r>
    </w:p>
    <w:p w:rsidR="009B0FC4" w:rsidRPr="009B0FC4" w:rsidRDefault="009B0FC4" w:rsidP="009B0FC4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9B0FC4">
        <w:rPr>
          <w:rFonts w:ascii="Georgia" w:hAnsi="Georgia" w:cs="Georgia"/>
          <w:bCs/>
          <w:sz w:val="24"/>
          <w:szCs w:val="24"/>
        </w:rPr>
        <w:t>ASG Senate Resolution No. 3 – The Grade Forgiveness Act of 2015</w:t>
      </w:r>
    </w:p>
    <w:p w:rsidR="009B0FC4" w:rsidRPr="009B0FC4" w:rsidRDefault="009B0FC4" w:rsidP="009B0FC4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9B0FC4">
        <w:rPr>
          <w:rFonts w:ascii="Georgia" w:hAnsi="Georgia" w:cs="Georgia"/>
          <w:bCs/>
          <w:sz w:val="24"/>
          <w:szCs w:val="24"/>
        </w:rPr>
        <w:t>Authored by Academics Committee Chair Courtney Brooks</w:t>
      </w:r>
    </w:p>
    <w:p w:rsidR="009B0FC4" w:rsidRPr="009B0FC4" w:rsidRDefault="009B0FC4" w:rsidP="009B0FC4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9B0FC4">
        <w:rPr>
          <w:rFonts w:ascii="Georgia" w:hAnsi="Georgia" w:cs="Georgia"/>
          <w:bCs/>
          <w:sz w:val="24"/>
          <w:szCs w:val="24"/>
        </w:rPr>
        <w:t xml:space="preserve">Sponsored by Senators Dorsey,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Kyte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, Casals, Watkins, Sowers, Day, Edwards,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Lantefield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, Smith,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Balok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, Thrash, Lester, Sharp,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Walstad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>, McPherson; Chair of Senate Jace Motley; President Tanner Bone; Chief of Staff Elizabeth Pittman</w:t>
      </w:r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p w:rsidR="006D0108" w:rsidRPr="008252EA" w:rsidRDefault="006D0108" w:rsidP="006D0108">
      <w:pPr>
        <w:spacing w:after="200" w:line="276" w:lineRule="auto"/>
        <w:rPr>
          <w:sz w:val="20"/>
          <w:szCs w:val="20"/>
        </w:rPr>
      </w:pPr>
    </w:p>
    <w:p w:rsidR="00EF5D3B" w:rsidRPr="008252EA" w:rsidRDefault="00EF5D3B"/>
    <w:sectPr w:rsidR="00EF5D3B" w:rsidRPr="008252EA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8"/>
    <w:rsid w:val="00055AFB"/>
    <w:rsid w:val="000C24CA"/>
    <w:rsid w:val="000E40CA"/>
    <w:rsid w:val="000E618A"/>
    <w:rsid w:val="0015583B"/>
    <w:rsid w:val="001B0963"/>
    <w:rsid w:val="001D43CF"/>
    <w:rsid w:val="001F7734"/>
    <w:rsid w:val="00255632"/>
    <w:rsid w:val="00265D65"/>
    <w:rsid w:val="00296EC9"/>
    <w:rsid w:val="002C0E7E"/>
    <w:rsid w:val="002D5E2D"/>
    <w:rsid w:val="00303CC3"/>
    <w:rsid w:val="003605A1"/>
    <w:rsid w:val="004377DE"/>
    <w:rsid w:val="00461BD1"/>
    <w:rsid w:val="00492EFC"/>
    <w:rsid w:val="004A0CB5"/>
    <w:rsid w:val="004F0E2D"/>
    <w:rsid w:val="00523A72"/>
    <w:rsid w:val="005A504D"/>
    <w:rsid w:val="00680734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7F7FC9"/>
    <w:rsid w:val="008252EA"/>
    <w:rsid w:val="00826361"/>
    <w:rsid w:val="0088326C"/>
    <w:rsid w:val="008844C9"/>
    <w:rsid w:val="008A4765"/>
    <w:rsid w:val="008D4A07"/>
    <w:rsid w:val="009B0FC4"/>
    <w:rsid w:val="009C5C04"/>
    <w:rsid w:val="009F01F2"/>
    <w:rsid w:val="009F4E7F"/>
    <w:rsid w:val="00A80B2B"/>
    <w:rsid w:val="00AD6983"/>
    <w:rsid w:val="00B17B13"/>
    <w:rsid w:val="00B62507"/>
    <w:rsid w:val="00C628A5"/>
    <w:rsid w:val="00CC5807"/>
    <w:rsid w:val="00D079C4"/>
    <w:rsid w:val="00D21F84"/>
    <w:rsid w:val="00D51B54"/>
    <w:rsid w:val="00D67EBE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3BC6"/>
    <w:rsid w:val="00F61B49"/>
    <w:rsid w:val="00F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A3AB5-9A23-4C5C-85B2-CAC8B293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ASG Chair of Senate, Jace Motley</cp:lastModifiedBy>
  <cp:revision>4</cp:revision>
  <cp:lastPrinted>2013-09-10T21:14:00Z</cp:lastPrinted>
  <dcterms:created xsi:type="dcterms:W3CDTF">2015-10-29T16:33:00Z</dcterms:created>
  <dcterms:modified xsi:type="dcterms:W3CDTF">2015-10-30T20:18:00Z</dcterms:modified>
</cp:coreProperties>
</file>